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DB356" w14:textId="77777777" w:rsidR="002231CA" w:rsidRPr="002231CA" w:rsidRDefault="002231CA" w:rsidP="002231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</w:rPr>
      </w:pPr>
      <w:bookmarkStart w:id="0" w:name="_GoBack"/>
      <w:proofErr w:type="spellStart"/>
      <w:r w:rsidRPr="002231CA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</w:rPr>
        <w:t>Guía</w:t>
      </w:r>
      <w:proofErr w:type="spellEnd"/>
      <w:r w:rsidRPr="002231CA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</w:rPr>
        <w:t xml:space="preserve"> </w:t>
      </w:r>
      <w:proofErr w:type="spellStart"/>
      <w:r w:rsidRPr="002231CA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</w:rPr>
        <w:t>interina</w:t>
      </w:r>
      <w:proofErr w:type="spellEnd"/>
      <w:r w:rsidRPr="002231CA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</w:rPr>
        <w:t xml:space="preserve"> para </w:t>
      </w:r>
      <w:proofErr w:type="spellStart"/>
      <w:r w:rsidRPr="002231CA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</w:rPr>
        <w:t>prevenir</w:t>
      </w:r>
      <w:proofErr w:type="spellEnd"/>
      <w:r w:rsidRPr="002231CA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</w:rPr>
        <w:t xml:space="preserve"> la </w:t>
      </w:r>
      <w:proofErr w:type="spellStart"/>
      <w:r w:rsidRPr="002231CA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</w:rPr>
        <w:t>propagación</w:t>
      </w:r>
      <w:proofErr w:type="spellEnd"/>
      <w:r w:rsidRPr="002231CA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</w:rPr>
        <w:t xml:space="preserve"> de la </w:t>
      </w:r>
      <w:proofErr w:type="spellStart"/>
      <w:r w:rsidRPr="002231CA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</w:rPr>
        <w:t>enfermedad</w:t>
      </w:r>
      <w:proofErr w:type="spellEnd"/>
      <w:r w:rsidRPr="002231CA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</w:rPr>
        <w:t xml:space="preserve"> del coronavirus 2019 (COVID-2019)</w:t>
      </w:r>
      <w:bookmarkEnd w:id="0"/>
      <w:r w:rsidRPr="002231CA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</w:rPr>
        <w:t xml:space="preserve"> </w:t>
      </w:r>
      <w:proofErr w:type="spellStart"/>
      <w:r w:rsidRPr="002231CA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</w:rPr>
        <w:t>en</w:t>
      </w:r>
      <w:proofErr w:type="spellEnd"/>
      <w:r w:rsidRPr="002231CA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</w:rPr>
        <w:t xml:space="preserve"> los </w:t>
      </w:r>
      <w:proofErr w:type="spellStart"/>
      <w:r w:rsidRPr="002231CA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</w:rPr>
        <w:t>hogares</w:t>
      </w:r>
      <w:proofErr w:type="spellEnd"/>
      <w:r w:rsidRPr="002231CA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</w:rPr>
        <w:t xml:space="preserve"> y las </w:t>
      </w:r>
      <w:proofErr w:type="spellStart"/>
      <w:r w:rsidRPr="002231CA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</w:rPr>
        <w:t>comunidades</w:t>
      </w:r>
      <w:proofErr w:type="spellEnd"/>
      <w:r w:rsidRPr="002231CA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</w:rPr>
        <w:t xml:space="preserve"> </w:t>
      </w:r>
      <w:proofErr w:type="spellStart"/>
      <w:r w:rsidRPr="002231CA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</w:rPr>
        <w:t>residenciales</w:t>
      </w:r>
      <w:proofErr w:type="spellEnd"/>
    </w:p>
    <w:p w14:paraId="4345F758" w14:textId="77777777" w:rsidR="002231CA" w:rsidRPr="002231CA" w:rsidRDefault="002231CA" w:rsidP="002231CA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proofErr w:type="spellStart"/>
      <w:r w:rsidRPr="002231CA">
        <w:rPr>
          <w:rFonts w:ascii="&amp;quot" w:eastAsia="Times New Roman" w:hAnsi="&amp;quot" w:cs="Times New Roman"/>
          <w:color w:val="8F0000"/>
          <w:sz w:val="26"/>
          <w:szCs w:val="26"/>
        </w:rPr>
        <w:t>Actualización</w:t>
      </w:r>
      <w:proofErr w:type="spellEnd"/>
      <w:r w:rsidRPr="002231CA">
        <w:rPr>
          <w:rFonts w:ascii="&amp;quot" w:eastAsia="Times New Roman" w:hAnsi="&amp;quot" w:cs="Times New Roman"/>
          <w:color w:val="8F0000"/>
          <w:sz w:val="26"/>
          <w:szCs w:val="26"/>
        </w:rPr>
        <w:t xml:space="preserve">: 14 de </w:t>
      </w:r>
      <w:proofErr w:type="spellStart"/>
      <w:r w:rsidRPr="002231CA">
        <w:rPr>
          <w:rFonts w:ascii="&amp;quot" w:eastAsia="Times New Roman" w:hAnsi="&amp;quot" w:cs="Times New Roman"/>
          <w:color w:val="8F0000"/>
          <w:sz w:val="26"/>
          <w:szCs w:val="26"/>
        </w:rPr>
        <w:t>febrero</w:t>
      </w:r>
      <w:proofErr w:type="spellEnd"/>
      <w:r w:rsidRPr="002231CA">
        <w:rPr>
          <w:rFonts w:ascii="&amp;quot" w:eastAsia="Times New Roman" w:hAnsi="&amp;quot" w:cs="Times New Roman"/>
          <w:color w:val="8F0000"/>
          <w:sz w:val="26"/>
          <w:szCs w:val="26"/>
        </w:rPr>
        <w:t xml:space="preserve"> de 2020</w:t>
      </w:r>
    </w:p>
    <w:p w14:paraId="6E2ECAA6" w14:textId="77777777" w:rsidR="002231CA" w:rsidRPr="002231CA" w:rsidRDefault="002231CA" w:rsidP="002231CA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(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Esta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guía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proporciona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información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adicional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sobre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la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evaluación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aislamiento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en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el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hogar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y una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sección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nueva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con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información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medidas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preventivas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para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miembros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del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hogar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, parejas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íntimas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y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cuidadores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en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entornos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no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médicos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de personas con COVID-19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sintomático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confirmado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en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laboratorio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).</w:t>
      </w:r>
    </w:p>
    <w:p w14:paraId="142140C9" w14:textId="77777777" w:rsidR="002231CA" w:rsidRPr="002231CA" w:rsidRDefault="002231CA" w:rsidP="002231CA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Esta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guía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interina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se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basa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lo que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actualmente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se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sabe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sobre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epidemiología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del COVID-19 y la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transmisión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otras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infecciones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respiratorias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virales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. Los CDC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actualizarán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esta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guía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interina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medida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que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sea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necesario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se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disponga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más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información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.</w:t>
      </w:r>
    </w:p>
    <w:p w14:paraId="5ABF29DF" w14:textId="77777777" w:rsidR="002231CA" w:rsidRPr="002231CA" w:rsidRDefault="002231CA" w:rsidP="002231CA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Los coronavirus son una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familia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grande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virus, entre los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cuales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hay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algunos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que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causan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enfermedad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las personas y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otros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que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circulan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entre los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animales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como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los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camellos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los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gatos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los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murciélagos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.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Rara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vez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los coronavirus de los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animales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pueden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infectar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 las personas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expuestas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animales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infectados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luego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propagarse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entre las personas,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tal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como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se ha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observado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con el </w:t>
      </w:r>
      <w:hyperlink r:id="rId5" w:history="1"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MERS</w:t>
        </w:r>
      </w:hyperlink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-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CoV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el </w:t>
      </w:r>
      <w:hyperlink r:id="rId6" w:history="1"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SARS</w:t>
        </w:r>
      </w:hyperlink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-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CoV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(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inglés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), y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probablemente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ahora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con el del COVID-19.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Esta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guía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interina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puede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ayudar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prevenir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que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este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virus se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propague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entre las personas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sus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hogares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otras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comunidades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residenciales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.</w:t>
      </w:r>
    </w:p>
    <w:p w14:paraId="72B63B75" w14:textId="77777777" w:rsidR="002231CA" w:rsidRPr="002231CA" w:rsidRDefault="002231CA" w:rsidP="002231CA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Esta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guía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interina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es para las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siguientes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personas:</w:t>
      </w:r>
    </w:p>
    <w:p w14:paraId="5413E37A" w14:textId="77777777" w:rsidR="002231CA" w:rsidRPr="002231CA" w:rsidRDefault="002231CA" w:rsidP="002231CA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rPr>
          <w:rFonts w:ascii="&amp;quot" w:eastAsia="Times New Roman" w:hAnsi="&amp;quot" w:cs="Times New Roman"/>
          <w:color w:val="000000"/>
          <w:sz w:val="26"/>
          <w:szCs w:val="26"/>
        </w:rPr>
      </w:pPr>
      <w:hyperlink r:id="rId7" w:anchor="prevention-steps" w:history="1"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las personas con COVID-19 </w:t>
        </w:r>
        <w:proofErr w:type="spellStart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confirmado</w:t>
        </w:r>
        <w:proofErr w:type="spellEnd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 o </w:t>
        </w:r>
        <w:proofErr w:type="spellStart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presunto</w:t>
        </w:r>
        <w:proofErr w:type="spellEnd"/>
      </w:hyperlink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incluidas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aquellas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bajo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investigación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que no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necesitan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ser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hospitalizadas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que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pueden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recibir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cuidados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el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hogar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(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ver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hyperlink r:id="rId8" w:history="1">
        <w:proofErr w:type="spellStart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Guía</w:t>
        </w:r>
        <w:proofErr w:type="spellEnd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 </w:t>
        </w:r>
        <w:proofErr w:type="spellStart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interina</w:t>
        </w:r>
        <w:proofErr w:type="spellEnd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 para </w:t>
        </w:r>
        <w:proofErr w:type="spellStart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implementar</w:t>
        </w:r>
        <w:proofErr w:type="spellEnd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 </w:t>
        </w:r>
        <w:proofErr w:type="spellStart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cuidados</w:t>
        </w:r>
        <w:proofErr w:type="spellEnd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 a personas que no </w:t>
        </w:r>
        <w:proofErr w:type="spellStart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requieren</w:t>
        </w:r>
        <w:proofErr w:type="spellEnd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 </w:t>
        </w:r>
        <w:proofErr w:type="spellStart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hospitalización</w:t>
        </w:r>
        <w:proofErr w:type="spellEnd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 por el nuevo coronavirus 2019 [COVID-19]</w:t>
        </w:r>
      </w:hyperlink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) (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inglés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);</w:t>
      </w:r>
    </w:p>
    <w:p w14:paraId="1A0A8F6C" w14:textId="77777777" w:rsidR="002231CA" w:rsidRPr="002231CA" w:rsidRDefault="002231CA" w:rsidP="002231CA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rPr>
          <w:rFonts w:ascii="&amp;quot" w:eastAsia="Times New Roman" w:hAnsi="&amp;quot" w:cs="Times New Roman"/>
          <w:color w:val="000000"/>
          <w:sz w:val="26"/>
          <w:szCs w:val="26"/>
        </w:rPr>
      </w:pPr>
      <w:hyperlink r:id="rId9" w:anchor="prevention-steps" w:history="1"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las personas con COVID-19 </w:t>
        </w:r>
        <w:proofErr w:type="spellStart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confirmado</w:t>
        </w:r>
        <w:proofErr w:type="spellEnd"/>
      </w:hyperlink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que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estuvieron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hospitalizadas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luego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se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determinó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que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estaban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médicamente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estables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para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irse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su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casa (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ver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hyperlink r:id="rId10" w:history="1">
        <w:proofErr w:type="spellStart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Guía</w:t>
        </w:r>
        <w:proofErr w:type="spellEnd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 </w:t>
        </w:r>
        <w:proofErr w:type="spellStart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interina</w:t>
        </w:r>
        <w:proofErr w:type="spellEnd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 para </w:t>
        </w:r>
        <w:proofErr w:type="spellStart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implementar</w:t>
        </w:r>
        <w:proofErr w:type="spellEnd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 </w:t>
        </w:r>
        <w:proofErr w:type="spellStart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cuidados</w:t>
        </w:r>
        <w:proofErr w:type="spellEnd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 a personas que no </w:t>
        </w:r>
        <w:proofErr w:type="spellStart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requieren</w:t>
        </w:r>
        <w:proofErr w:type="spellEnd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 </w:t>
        </w:r>
        <w:proofErr w:type="spellStart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hospitalización</w:t>
        </w:r>
        <w:proofErr w:type="spellEnd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 por el nuevo coronavirus 2019 [COVID-19]</w:t>
        </w:r>
      </w:hyperlink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) (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inglés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);</w:t>
      </w:r>
    </w:p>
    <w:p w14:paraId="222CDC62" w14:textId="77777777" w:rsidR="002231CA" w:rsidRPr="002231CA" w:rsidRDefault="002231CA" w:rsidP="002231CA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los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miembros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hogar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las parejas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íntimas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los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cuidadores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entornos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no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médicos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personas con COVID-19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sintomático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confirmado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laboratorio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.</w:t>
      </w:r>
    </w:p>
    <w:p w14:paraId="2E0F4D48" w14:textId="77777777" w:rsidR="002231CA" w:rsidRPr="002231CA" w:rsidRDefault="002231CA" w:rsidP="002231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spellStart"/>
      <w:r w:rsidRPr="002231CA">
        <w:rPr>
          <w:rFonts w:ascii="Times New Roman" w:eastAsia="Times New Roman" w:hAnsi="Times New Roman" w:cs="Times New Roman"/>
          <w:color w:val="000000"/>
          <w:sz w:val="36"/>
          <w:szCs w:val="36"/>
        </w:rPr>
        <w:t>Medidas</w:t>
      </w:r>
      <w:proofErr w:type="spellEnd"/>
      <w:r w:rsidRPr="002231C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de </w:t>
      </w:r>
      <w:proofErr w:type="spellStart"/>
      <w:r w:rsidRPr="002231CA">
        <w:rPr>
          <w:rFonts w:ascii="Times New Roman" w:eastAsia="Times New Roman" w:hAnsi="Times New Roman" w:cs="Times New Roman"/>
          <w:color w:val="000000"/>
          <w:sz w:val="36"/>
          <w:szCs w:val="36"/>
        </w:rPr>
        <w:t>prevención</w:t>
      </w:r>
      <w:proofErr w:type="spellEnd"/>
      <w:r w:rsidRPr="002231C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para las personas:</w:t>
      </w:r>
    </w:p>
    <w:p w14:paraId="1C14870B" w14:textId="77777777" w:rsidR="002231CA" w:rsidRPr="002231CA" w:rsidRDefault="002231CA" w:rsidP="002231CA">
      <w:pPr>
        <w:shd w:val="clear" w:color="auto" w:fill="FFECB3"/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lastRenderedPageBreak/>
        <w:t xml:space="preserve">con COVID-19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confirmado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o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presunto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(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incluidas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aquellas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bajo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investigación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) que no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necesitan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ser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hospitalizadas</w:t>
      </w:r>
      <w:proofErr w:type="spellEnd"/>
    </w:p>
    <w:p w14:paraId="5A8D7A33" w14:textId="77777777" w:rsidR="002231CA" w:rsidRPr="002231CA" w:rsidRDefault="002231CA" w:rsidP="002231CA">
      <w:pPr>
        <w:shd w:val="clear" w:color="auto" w:fill="FFECB3"/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y </w:t>
      </w:r>
    </w:p>
    <w:p w14:paraId="0095E221" w14:textId="77777777" w:rsidR="002231CA" w:rsidRPr="002231CA" w:rsidRDefault="002231CA" w:rsidP="002231CA">
      <w:pPr>
        <w:shd w:val="clear" w:color="auto" w:fill="FFECB3"/>
        <w:spacing w:after="0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con COVID-19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confirmado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que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fueron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hospitalizadas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y se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determinó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que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estaban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médicamente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estables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para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irse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a casa</w:t>
      </w:r>
    </w:p>
    <w:p w14:paraId="1110B92C" w14:textId="77777777" w:rsidR="002231CA" w:rsidRPr="002231CA" w:rsidRDefault="002231CA" w:rsidP="002231CA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Sus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proveedores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atención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médica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el personal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salud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pública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evaluarán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si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puede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recibir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cuidados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su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casa. Si se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determina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que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usted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no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necesita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ser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hospitalizado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que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puede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estar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aislamiento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su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casa,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será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monitoreado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por personal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su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departamento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salud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local o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estatal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. Debe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seguir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medidas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preventivas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que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aparecen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continuación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hasta que un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proveedor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atención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médica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el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departamento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salud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local o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estatal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diga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que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usted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puede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regresar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 sus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actividades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normales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.</w:t>
      </w:r>
    </w:p>
    <w:p w14:paraId="499C94C4" w14:textId="77777777" w:rsidR="002231CA" w:rsidRPr="002231CA" w:rsidRDefault="002231CA" w:rsidP="002231CA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Quédese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en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casa,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excepto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para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conseguir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atención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médica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</w:t>
      </w:r>
    </w:p>
    <w:p w14:paraId="170408FF" w14:textId="77777777" w:rsidR="002231CA" w:rsidRPr="002231CA" w:rsidRDefault="002231CA" w:rsidP="002231CA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Debe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restringir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actividades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fuera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su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casa,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excepto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para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conseguir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atención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médica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. No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vaya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trabajo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la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escuela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áreas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públicas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. Evite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usar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el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servicio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transporte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público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vehículos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compartidos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o taxis.</w:t>
      </w:r>
    </w:p>
    <w:p w14:paraId="10D9DC15" w14:textId="77777777" w:rsidR="002231CA" w:rsidRPr="002231CA" w:rsidRDefault="002231CA" w:rsidP="002231CA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Manténgase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alejado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otras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personas y de los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animales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en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su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casa </w:t>
      </w:r>
    </w:p>
    <w:p w14:paraId="10DCC303" w14:textId="77777777" w:rsidR="002231CA" w:rsidRPr="002231CA" w:rsidRDefault="002231CA" w:rsidP="002231CA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Personas: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medida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lo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posible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permanezca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una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habitación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específica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lejos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las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demás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personas que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estén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su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casa.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Además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debería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usar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un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baño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aparte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de ser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posible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.</w:t>
      </w:r>
    </w:p>
    <w:p w14:paraId="0031F21B" w14:textId="77777777" w:rsidR="002231CA" w:rsidRPr="002231CA" w:rsidRDefault="002231CA" w:rsidP="002231CA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Animales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: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mientras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esté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enfermo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no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manipule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ni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toque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mascotas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ni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otros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animales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.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Consulte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hyperlink r:id="rId11" w:anchor="2019-nCoV-and-animals" w:history="1"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El COVID-19 y los </w:t>
        </w:r>
        <w:proofErr w:type="spellStart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animales</w:t>
        </w:r>
        <w:proofErr w:type="spellEnd"/>
      </w:hyperlink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 para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obtener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más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información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.</w:t>
      </w:r>
    </w:p>
    <w:p w14:paraId="1721A923" w14:textId="77777777" w:rsidR="002231CA" w:rsidRPr="002231CA" w:rsidRDefault="002231CA" w:rsidP="002231CA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Llame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antes de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ir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al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médico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</w:t>
      </w:r>
    </w:p>
    <w:p w14:paraId="01626775" w14:textId="77777777" w:rsidR="002231CA" w:rsidRPr="002231CA" w:rsidRDefault="002231CA" w:rsidP="002231CA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Si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tiene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una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cita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médica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llame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proveedor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atención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médica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dígale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que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tiene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o que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podría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tener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COVID-19.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Esto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ayudará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 que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el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consultorio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proveedor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atención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médica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se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tomen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medidas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para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evitar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que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otras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personas se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infecten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o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expongan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.</w:t>
      </w:r>
    </w:p>
    <w:p w14:paraId="372796C7" w14:textId="77777777" w:rsidR="002231CA" w:rsidRPr="002231CA" w:rsidRDefault="002231CA" w:rsidP="002231CA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Use una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mascarilla</w:t>
      </w:r>
      <w:proofErr w:type="spellEnd"/>
    </w:p>
    <w:p w14:paraId="04D020D4" w14:textId="77777777" w:rsidR="002231CA" w:rsidRPr="002231CA" w:rsidRDefault="002231CA" w:rsidP="002231CA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Usted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debería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usar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una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mascarilla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cuando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esté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cerca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otras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personas (p. 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ej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.,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compartiendo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una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habitación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o un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vehículo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) o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mascotas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antes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entrar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consultorio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un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proveedor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atención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médica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. Si no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puede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usar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una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mascarilla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(por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ejemplo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porque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le causa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dificultad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para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respirar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), las personas que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vivan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con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usted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no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deberían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permanecer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con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usted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misma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habitación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o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deberían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ponerse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una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mascarilla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si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entran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su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habitación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.</w:t>
      </w:r>
    </w:p>
    <w:p w14:paraId="3F880F93" w14:textId="77777777" w:rsidR="002231CA" w:rsidRPr="002231CA" w:rsidRDefault="002231CA" w:rsidP="002231CA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Cúbrase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la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nariz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y la boca al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toser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y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estornudar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</w:t>
      </w:r>
    </w:p>
    <w:p w14:paraId="61CA5AD5" w14:textId="77777777" w:rsidR="002231CA" w:rsidRPr="002231CA" w:rsidRDefault="002231CA" w:rsidP="002231CA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Cúbrase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nariz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la boca con un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pañuelo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desechable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toser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o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estornudar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.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Bote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los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pañuelos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desechables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usados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un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bote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basura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con una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bolsa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plástico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adentro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;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lávese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inmediatamente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las manos con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agua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jabón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por al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menos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20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segundos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o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límpieselas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con un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desinfectante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manos que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contenga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menos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entre 60 y 95 % de alcohol: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cubra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todas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las superficies de las manos y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fróteselas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hasta que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sienta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que se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secaron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. Si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tiene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las manos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visiblemente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sucias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es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preferible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usar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agua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jabón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.</w:t>
      </w:r>
    </w:p>
    <w:p w14:paraId="2B0B94D1" w14:textId="77777777" w:rsidR="002231CA" w:rsidRPr="002231CA" w:rsidRDefault="002231CA" w:rsidP="002231CA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Límpiese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las manos con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frecuencia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</w:t>
      </w:r>
    </w:p>
    <w:p w14:paraId="7658DDEE" w14:textId="77777777" w:rsidR="002231CA" w:rsidRPr="002231CA" w:rsidRDefault="002231CA" w:rsidP="002231CA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Lávese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las manos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frecuentemente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con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agua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jabón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por al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menos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20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segundos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o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límpieselas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con un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desinfectante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manos que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contenga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menos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entre 60 y 95 % de alcohol: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cubra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todas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las superficies de las manos y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fróteselas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hasta que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sienta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que se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secaron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. Si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tiene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las manos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visiblemente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sucias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es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preferible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usar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agua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jabón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. Evite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tocarse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los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ojos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la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nariz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la boca con las manos sin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lavar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.</w:t>
      </w:r>
    </w:p>
    <w:p w14:paraId="4A46E2A7" w14:textId="77777777" w:rsidR="002231CA" w:rsidRPr="002231CA" w:rsidRDefault="002231CA" w:rsidP="002231CA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Evite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compartir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artículos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del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hogar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uso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personal </w:t>
      </w:r>
    </w:p>
    <w:p w14:paraId="1C720FCA" w14:textId="77777777" w:rsidR="002231CA" w:rsidRPr="002231CA" w:rsidRDefault="002231CA" w:rsidP="002231CA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No debe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compartir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platos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vasos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tazas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cubiertos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toallas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o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ropa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cama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con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otras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personas o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mascotas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que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estén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su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casa.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Después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usar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estos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artículos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se los debe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lavar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bien con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agua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jabón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.</w:t>
      </w:r>
    </w:p>
    <w:p w14:paraId="5ED47A2B" w14:textId="77777777" w:rsidR="002231CA" w:rsidRPr="002231CA" w:rsidRDefault="002231CA" w:rsidP="002231CA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Limpie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todos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los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días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todas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las superficies de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contacto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frecuente</w:t>
      </w:r>
      <w:proofErr w:type="spellEnd"/>
    </w:p>
    <w:p w14:paraId="185FAFE5" w14:textId="77777777" w:rsidR="002231CA" w:rsidRPr="002231CA" w:rsidRDefault="002231CA" w:rsidP="002231CA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Las superficies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contacto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frecuente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incluyen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los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mesones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las mesas, las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manijas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las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puertas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las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llaves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grifos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baño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los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inodoros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los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teléfonos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los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teclados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las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tabletas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las mesas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cama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.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Limpie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también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todas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las superficies que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puedan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tener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sangre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heces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o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líquidos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corporales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. Use un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limpiador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uso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doméstico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ya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sea un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rociador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o una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toallita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según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instrucciones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la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etiqueta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. Las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etiquetas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contienen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instrucciones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para el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uso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seguro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eficaz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los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productos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limpieza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incluidas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precauciones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que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debería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tomar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cuando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aplique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el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producto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como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usar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guantes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asegurarse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tener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buena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ventilación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mientras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lo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esté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usando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.</w:t>
      </w:r>
    </w:p>
    <w:p w14:paraId="29EBA9BA" w14:textId="77777777" w:rsidR="002231CA" w:rsidRPr="002231CA" w:rsidRDefault="002231CA" w:rsidP="002231CA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Vigile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sus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síntomas</w:t>
      </w:r>
      <w:proofErr w:type="spellEnd"/>
    </w:p>
    <w:p w14:paraId="50DB0DA0" w14:textId="77777777" w:rsidR="002231CA" w:rsidRPr="002231CA" w:rsidRDefault="002231CA" w:rsidP="002231CA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Busque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atención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médica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rápidamente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si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su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enfermedad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empeora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(p.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ej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.,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si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tiene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dificultad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para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respirar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). </w:t>
      </w:r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Antes de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hacerlo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llame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su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proveedor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atención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médica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dígale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que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tiene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el COVID-19, o que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está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siendo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evaluado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para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determinar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si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lo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tiene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.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Póngase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una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mascarilla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antes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entrar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consultorio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.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Estas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medidas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ayudarán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 que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el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consultorio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proveedor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atención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médica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se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pueda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evitar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infección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o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exposición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las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otras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personas que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estén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el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consultorio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o la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sala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espera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.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Pídale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su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proveedor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atención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médica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que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llame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departamento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salud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local o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estatal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. Las personas que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estén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bajo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monitoreo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activo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o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automonitoreo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facilitado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deben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seguir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indicaciones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provistas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por los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profesionales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salud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ocupacional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o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su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departamento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salud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local,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según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corresponda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.</w:t>
      </w:r>
    </w:p>
    <w:p w14:paraId="7EA690C8" w14:textId="77777777" w:rsidR="002231CA" w:rsidRPr="002231CA" w:rsidRDefault="002231CA" w:rsidP="002231CA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Si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tiene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una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emergencia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médica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o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necesita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llamar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al 911,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avísele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al personal del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centro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llamadas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que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tiene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el COVID-19 o lo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están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evaluando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para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determinarlo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. De ser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posible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póngase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una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mascarilla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antes de que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llegue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el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servicio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médico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emergencias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.</w:t>
      </w:r>
    </w:p>
    <w:p w14:paraId="570D4ACE" w14:textId="77777777" w:rsidR="002231CA" w:rsidRPr="002231CA" w:rsidRDefault="002231CA" w:rsidP="002231CA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Interrupción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del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aislamiento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en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la casa</w:t>
      </w:r>
    </w:p>
    <w:p w14:paraId="33FBAE4F" w14:textId="77777777" w:rsidR="002231CA" w:rsidRPr="002231CA" w:rsidRDefault="002231CA" w:rsidP="002231CA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Los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pacientes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con COVID-19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confirmado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deben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permanecer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bajo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precauciones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aislamiento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 casa hasta que el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riesgo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transmisión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secundaria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gram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</w:t>
      </w:r>
      <w:proofErr w:type="gram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otras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personas se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considere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bajo. La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decisión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interrumpir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precauciones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aislamiento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 casa debe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tomarse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según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cada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caso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particular,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proofErr w:type="gram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consulta con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proveedores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atención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médica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departamentos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salud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estatales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locales.</w:t>
      </w:r>
    </w:p>
    <w:p w14:paraId="595ACEA3" w14:textId="77777777" w:rsidR="002231CA" w:rsidRPr="002231CA" w:rsidRDefault="002231CA" w:rsidP="002231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spellStart"/>
      <w:r w:rsidRPr="002231CA">
        <w:rPr>
          <w:rFonts w:ascii="Times New Roman" w:eastAsia="Times New Roman" w:hAnsi="Times New Roman" w:cs="Times New Roman"/>
          <w:color w:val="000000"/>
          <w:sz w:val="36"/>
          <w:szCs w:val="36"/>
        </w:rPr>
        <w:t>Precauciones</w:t>
      </w:r>
      <w:proofErr w:type="spellEnd"/>
      <w:r w:rsidRPr="002231C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2231CA">
        <w:rPr>
          <w:rFonts w:ascii="Times New Roman" w:eastAsia="Times New Roman" w:hAnsi="Times New Roman" w:cs="Times New Roman"/>
          <w:color w:val="000000"/>
          <w:sz w:val="36"/>
          <w:szCs w:val="36"/>
        </w:rPr>
        <w:t>recomendadas</w:t>
      </w:r>
      <w:proofErr w:type="spellEnd"/>
      <w:r w:rsidRPr="002231C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para </w:t>
      </w:r>
      <w:proofErr w:type="spellStart"/>
      <w:r w:rsidRPr="002231CA">
        <w:rPr>
          <w:rFonts w:ascii="Times New Roman" w:eastAsia="Times New Roman" w:hAnsi="Times New Roman" w:cs="Times New Roman"/>
          <w:color w:val="000000"/>
          <w:sz w:val="36"/>
          <w:szCs w:val="36"/>
        </w:rPr>
        <w:t>miembros</w:t>
      </w:r>
      <w:proofErr w:type="spellEnd"/>
      <w:r w:rsidRPr="002231C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del </w:t>
      </w:r>
      <w:proofErr w:type="spellStart"/>
      <w:r w:rsidRPr="002231CA">
        <w:rPr>
          <w:rFonts w:ascii="Times New Roman" w:eastAsia="Times New Roman" w:hAnsi="Times New Roman" w:cs="Times New Roman"/>
          <w:color w:val="000000"/>
          <w:sz w:val="36"/>
          <w:szCs w:val="36"/>
        </w:rPr>
        <w:t>hogar</w:t>
      </w:r>
      <w:proofErr w:type="spellEnd"/>
      <w:r w:rsidRPr="002231C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parejas </w:t>
      </w:r>
      <w:proofErr w:type="spellStart"/>
      <w:r w:rsidRPr="002231CA">
        <w:rPr>
          <w:rFonts w:ascii="Times New Roman" w:eastAsia="Times New Roman" w:hAnsi="Times New Roman" w:cs="Times New Roman"/>
          <w:color w:val="000000"/>
          <w:sz w:val="36"/>
          <w:szCs w:val="36"/>
        </w:rPr>
        <w:t>íntimas</w:t>
      </w:r>
      <w:proofErr w:type="spellEnd"/>
      <w:r w:rsidRPr="002231C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y </w:t>
      </w:r>
      <w:proofErr w:type="spellStart"/>
      <w:r w:rsidRPr="002231CA">
        <w:rPr>
          <w:rFonts w:ascii="Times New Roman" w:eastAsia="Times New Roman" w:hAnsi="Times New Roman" w:cs="Times New Roman"/>
          <w:color w:val="000000"/>
          <w:sz w:val="36"/>
          <w:szCs w:val="36"/>
        </w:rPr>
        <w:t>cuidadores</w:t>
      </w:r>
      <w:proofErr w:type="spellEnd"/>
      <w:r w:rsidRPr="002231C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2231CA">
        <w:rPr>
          <w:rFonts w:ascii="Times New Roman" w:eastAsia="Times New Roman" w:hAnsi="Times New Roman" w:cs="Times New Roman"/>
          <w:color w:val="000000"/>
          <w:sz w:val="36"/>
          <w:szCs w:val="36"/>
        </w:rPr>
        <w:t>en</w:t>
      </w:r>
      <w:proofErr w:type="spellEnd"/>
      <w:r w:rsidRPr="002231C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2231CA">
        <w:rPr>
          <w:rFonts w:ascii="Times New Roman" w:eastAsia="Times New Roman" w:hAnsi="Times New Roman" w:cs="Times New Roman"/>
          <w:color w:val="000000"/>
          <w:sz w:val="36"/>
          <w:szCs w:val="36"/>
        </w:rPr>
        <w:t>entornos</w:t>
      </w:r>
      <w:proofErr w:type="spellEnd"/>
      <w:r w:rsidRPr="002231C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no </w:t>
      </w:r>
      <w:proofErr w:type="spellStart"/>
      <w:r w:rsidRPr="002231CA">
        <w:rPr>
          <w:rFonts w:ascii="Times New Roman" w:eastAsia="Times New Roman" w:hAnsi="Times New Roman" w:cs="Times New Roman"/>
          <w:color w:val="000000"/>
          <w:sz w:val="36"/>
          <w:szCs w:val="36"/>
        </w:rPr>
        <w:t>médicos</w:t>
      </w:r>
      <w:proofErr w:type="spellEnd"/>
      <w:r w:rsidRPr="002231C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de</w:t>
      </w:r>
      <w:hyperlink r:id="rId12" w:anchor="f1" w:history="1">
        <w:r w:rsidRPr="002231CA">
          <w:rPr>
            <w:rFonts w:ascii="Times New Roman" w:eastAsia="Times New Roman" w:hAnsi="Times New Roman" w:cs="Times New Roman"/>
            <w:color w:val="075290"/>
            <w:sz w:val="23"/>
            <w:szCs w:val="23"/>
            <w:u w:val="single"/>
            <w:vertAlign w:val="superscript"/>
          </w:rPr>
          <w:t>1</w:t>
        </w:r>
      </w:hyperlink>
      <w:r w:rsidRPr="002231C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2231CA">
        <w:rPr>
          <w:rFonts w:ascii="Times New Roman" w:eastAsia="Times New Roman" w:hAnsi="Times New Roman" w:cs="Times New Roman"/>
          <w:color w:val="000000"/>
          <w:sz w:val="36"/>
          <w:szCs w:val="36"/>
        </w:rPr>
        <w:t>pacientes</w:t>
      </w:r>
      <w:proofErr w:type="spellEnd"/>
      <w:r w:rsidRPr="002231CA">
        <w:rPr>
          <w:rFonts w:ascii="Times New Roman" w:eastAsia="Times New Roman" w:hAnsi="Times New Roman" w:cs="Times New Roman"/>
          <w:color w:val="000000"/>
          <w:sz w:val="36"/>
          <w:szCs w:val="36"/>
        </w:rPr>
        <w:t>:</w:t>
      </w:r>
    </w:p>
    <w:p w14:paraId="0BB61710" w14:textId="77777777" w:rsidR="002231CA" w:rsidRPr="002231CA" w:rsidRDefault="002231CA" w:rsidP="002231CA">
      <w:pPr>
        <w:shd w:val="clear" w:color="auto" w:fill="FFECB3"/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con COVID-19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sintomático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confirmado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en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laboratorio</w:t>
      </w:r>
      <w:proofErr w:type="spellEnd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 </w:t>
      </w:r>
    </w:p>
    <w:p w14:paraId="639F7E1A" w14:textId="77777777" w:rsidR="002231CA" w:rsidRPr="002231CA" w:rsidRDefault="002231CA" w:rsidP="002231CA">
      <w:pPr>
        <w:shd w:val="clear" w:color="auto" w:fill="FFECB3"/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2231CA">
        <w:rPr>
          <w:rFonts w:ascii="&amp;quot" w:eastAsia="Times New Roman" w:hAnsi="&amp;quot" w:cs="Times New Roman"/>
          <w:i/>
          <w:iCs/>
          <w:color w:val="000000"/>
          <w:sz w:val="26"/>
          <w:szCs w:val="26"/>
          <w:u w:val="single"/>
        </w:rPr>
        <w:t>o</w:t>
      </w:r>
    </w:p>
    <w:p w14:paraId="78B59B9C" w14:textId="77777777" w:rsidR="002231CA" w:rsidRPr="002231CA" w:rsidRDefault="002231CA" w:rsidP="002231CA">
      <w:pPr>
        <w:shd w:val="clear" w:color="auto" w:fill="FFECB3"/>
        <w:spacing w:after="0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 xml:space="preserve">bajo </w:t>
      </w:r>
      <w:proofErr w:type="spellStart"/>
      <w:r w:rsidRPr="002231CA">
        <w:rPr>
          <w:rFonts w:ascii="&amp;quot" w:eastAsia="Times New Roman" w:hAnsi="&amp;quot" w:cs="Times New Roman"/>
          <w:b/>
          <w:bCs/>
          <w:color w:val="000000"/>
          <w:sz w:val="26"/>
          <w:szCs w:val="26"/>
        </w:rPr>
        <w:t>investigación</w:t>
      </w:r>
      <w:proofErr w:type="spellEnd"/>
    </w:p>
    <w:p w14:paraId="6A1FACA6" w14:textId="77777777" w:rsidR="002231CA" w:rsidRPr="002231CA" w:rsidRDefault="002231CA" w:rsidP="002231CA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Los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miembros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hogar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las parejas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íntimas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los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cuidadores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entornos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no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médicos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personas con COVID-19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sintomático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confirmado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laboratorio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o bajo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investigación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podrían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entrar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contacto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cercano</w:t>
      </w:r>
      <w:hyperlink r:id="rId13" w:anchor="f2" w:history="1">
        <w:r w:rsidRPr="002231CA">
          <w:rPr>
            <w:rFonts w:ascii="&amp;quot" w:eastAsia="Times New Roman" w:hAnsi="&amp;quot" w:cs="Times New Roman"/>
            <w:color w:val="075290"/>
            <w:sz w:val="17"/>
            <w:szCs w:val="17"/>
            <w:u w:val="single"/>
            <w:vertAlign w:val="superscript"/>
          </w:rPr>
          <w:t>2</w:t>
        </w:r>
      </w:hyperlink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con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ellas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. Los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contactos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cercanos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se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deberían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monitorear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salud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llamar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su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proveedor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atención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médica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inmediato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si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presentan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signos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que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puedan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ser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indicativos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COVID-19 (p.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ej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.,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fiebre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dificultad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para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respirar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) (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ver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hyperlink r:id="rId14" w:history="1">
        <w:proofErr w:type="spellStart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Guía</w:t>
        </w:r>
        <w:proofErr w:type="spellEnd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 </w:t>
        </w:r>
        <w:proofErr w:type="spellStart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interina</w:t>
        </w:r>
        <w:proofErr w:type="spellEnd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 de los EE. UU. para la </w:t>
        </w:r>
        <w:proofErr w:type="spellStart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evaluación</w:t>
        </w:r>
        <w:proofErr w:type="spellEnd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 de </w:t>
        </w:r>
        <w:proofErr w:type="spellStart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riesgos</w:t>
        </w:r>
        <w:proofErr w:type="spellEnd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 y el </w:t>
        </w:r>
        <w:proofErr w:type="spellStart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manejo</w:t>
        </w:r>
        <w:proofErr w:type="spellEnd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 de </w:t>
        </w:r>
        <w:proofErr w:type="spellStart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salud</w:t>
        </w:r>
        <w:proofErr w:type="spellEnd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 </w:t>
        </w:r>
        <w:proofErr w:type="spellStart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pública</w:t>
        </w:r>
        <w:proofErr w:type="spellEnd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 de personas con </w:t>
        </w:r>
        <w:proofErr w:type="spellStart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posible</w:t>
        </w:r>
        <w:proofErr w:type="spellEnd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 </w:t>
        </w:r>
        <w:proofErr w:type="spellStart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exposición</w:t>
        </w:r>
        <w:proofErr w:type="spellEnd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 al nuevo coronavirus 2019 [COVID-19] </w:t>
        </w:r>
        <w:proofErr w:type="spellStart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en</w:t>
        </w:r>
        <w:proofErr w:type="spellEnd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 </w:t>
        </w:r>
        <w:proofErr w:type="spellStart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entornos</w:t>
        </w:r>
        <w:proofErr w:type="spellEnd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 </w:t>
        </w:r>
        <w:proofErr w:type="spellStart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asociados</w:t>
        </w:r>
        <w:proofErr w:type="spellEnd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 a </w:t>
        </w:r>
        <w:proofErr w:type="spellStart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viajes</w:t>
        </w:r>
        <w:proofErr w:type="spellEnd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 o </w:t>
        </w:r>
        <w:proofErr w:type="spellStart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comunitarios</w:t>
        </w:r>
        <w:proofErr w:type="spellEnd"/>
      </w:hyperlink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) (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inglés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).</w:t>
      </w:r>
    </w:p>
    <w:p w14:paraId="5C2F5B9B" w14:textId="77777777" w:rsidR="002231CA" w:rsidRPr="002231CA" w:rsidRDefault="002231CA" w:rsidP="002231CA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Los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contactos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cercanos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también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deberían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seguir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estas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recomendaciones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:</w:t>
      </w:r>
    </w:p>
    <w:p w14:paraId="1FDA3A74" w14:textId="77777777" w:rsidR="002231CA" w:rsidRPr="002231CA" w:rsidRDefault="002231CA" w:rsidP="002231CA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&amp;quot" w:eastAsia="Times New Roman" w:hAnsi="&amp;quot" w:cs="Times New Roman"/>
          <w:color w:val="000000"/>
          <w:sz w:val="26"/>
          <w:szCs w:val="26"/>
        </w:rPr>
      </w:pP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Asegurarse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entender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instrucciones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proveedor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atención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médica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cuanto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 los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medicamentos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los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cuidados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paciente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y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poder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ayudar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paciente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seguirlas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.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Debería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ayudar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paciente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con las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necesidades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básicas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hogar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prestarle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apoyo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con la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obtención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alimentos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recetas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médicas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y con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otras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necesidades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personales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.</w:t>
      </w:r>
    </w:p>
    <w:p w14:paraId="12013242" w14:textId="77777777" w:rsidR="002231CA" w:rsidRPr="002231CA" w:rsidRDefault="002231CA" w:rsidP="002231CA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&amp;quot" w:eastAsia="Times New Roman" w:hAnsi="&amp;quot" w:cs="Times New Roman"/>
          <w:color w:val="000000"/>
          <w:sz w:val="26"/>
          <w:szCs w:val="26"/>
        </w:rPr>
      </w:pP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Monitorear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los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síntomas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paciente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. Si la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enfermedad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empeora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llame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proveedor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atención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médica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paciente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avísele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que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tiene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COVID-19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confirmado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laboratorio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.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Esto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ayudará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 que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el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consultorio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proveedor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atención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médica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se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tomen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medidas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para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evitar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infección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las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otras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personas que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estén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el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consultorio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o la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sala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espera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.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Pídale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proveedor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atención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médica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que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llame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departamento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salud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local o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estatal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para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obtener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orientación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adicional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. Si el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paciente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tiene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una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emergencia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médica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usted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necesita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llamar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al 911,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avísele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al personal del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centro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llamadas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que el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paciente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tiene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el COVID-19 o lo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están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evaluando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para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determinarlo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.</w:t>
      </w:r>
    </w:p>
    <w:p w14:paraId="52F1D7B5" w14:textId="77777777" w:rsidR="002231CA" w:rsidRPr="002231CA" w:rsidRDefault="002231CA" w:rsidP="002231CA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Los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miembros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hogar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deberían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quedarse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otra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habitación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o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mantenerse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alejados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paciente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lo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más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posible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.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Además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deberían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usar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un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dormitorio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baño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aparte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de ser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posible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.</w:t>
      </w:r>
    </w:p>
    <w:p w14:paraId="22ED0A68" w14:textId="77777777" w:rsidR="002231CA" w:rsidRPr="002231CA" w:rsidRDefault="002231CA" w:rsidP="002231CA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&amp;quot" w:eastAsia="Times New Roman" w:hAnsi="&amp;quot" w:cs="Times New Roman"/>
          <w:color w:val="000000"/>
          <w:sz w:val="26"/>
          <w:szCs w:val="26"/>
        </w:rPr>
      </w:pP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Prohibir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visita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las personas que no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tengan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una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necesidad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esencial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estar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 casa.</w:t>
      </w:r>
    </w:p>
    <w:p w14:paraId="7AB4EE7A" w14:textId="77777777" w:rsidR="002231CA" w:rsidRPr="002231CA" w:rsidRDefault="002231CA" w:rsidP="002231CA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Los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miembros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hogar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deberían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hacerse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cargo de las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mascotas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que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haya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 casa. Las personas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enfermas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no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deben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manipular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ni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tocar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mascotas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u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otros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animales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. Para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obtener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más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información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consulte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hyperlink r:id="rId15" w:anchor="2019-nCoV-and-animals" w:history="1"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 xml:space="preserve">El COVID-19 y los </w:t>
        </w:r>
        <w:proofErr w:type="spellStart"/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animales</w:t>
        </w:r>
        <w:proofErr w:type="spellEnd"/>
      </w:hyperlink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.</w:t>
      </w:r>
    </w:p>
    <w:p w14:paraId="0A2DAF17" w14:textId="77777777" w:rsidR="002231CA" w:rsidRPr="002231CA" w:rsidRDefault="002231CA" w:rsidP="002231CA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&amp;quot" w:eastAsia="Times New Roman" w:hAnsi="&amp;quot" w:cs="Times New Roman"/>
          <w:color w:val="000000"/>
          <w:sz w:val="26"/>
          <w:szCs w:val="26"/>
        </w:rPr>
      </w:pP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Asegurarse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que los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lugares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compartidos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la casa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tengan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buena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circulación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aire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ya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sea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mediante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un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sistema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aire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acondicionado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o una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ventana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abierta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siempre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que las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condiciones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climáticas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lo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permitan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.</w:t>
      </w:r>
    </w:p>
    <w:p w14:paraId="15A2C712" w14:textId="77777777" w:rsidR="002231CA" w:rsidRPr="002231CA" w:rsidRDefault="002231CA" w:rsidP="002231CA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&amp;quot" w:eastAsia="Times New Roman" w:hAnsi="&amp;quot" w:cs="Times New Roman"/>
          <w:color w:val="000000"/>
          <w:sz w:val="26"/>
          <w:szCs w:val="26"/>
        </w:rPr>
      </w:pP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Lavarse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las manos con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frecuencia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.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Lávese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frecuentemente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las manos con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agua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jabón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por al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menos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20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segundos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o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límpieselas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con un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desinfectante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manos que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contenga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menos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entre 60 y 95 % de alcohol: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cubra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todas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las superficies de las manos y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fróteselas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hasta que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sienta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que se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secaron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. Si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tiene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las manos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visiblemente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sucias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es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preferible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usar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agua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jabón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.</w:t>
      </w:r>
    </w:p>
    <w:p w14:paraId="20BBBC7B" w14:textId="77777777" w:rsidR="002231CA" w:rsidRPr="002231CA" w:rsidRDefault="002231CA" w:rsidP="002231CA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&amp;quot" w:eastAsia="Times New Roman" w:hAnsi="&amp;quot" w:cs="Times New Roman"/>
          <w:color w:val="000000"/>
          <w:sz w:val="26"/>
          <w:szCs w:val="26"/>
        </w:rPr>
      </w:pP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Evitar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tocarse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los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ojos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la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nariz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la boca con las manos sin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lavar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.</w:t>
      </w:r>
    </w:p>
    <w:p w14:paraId="5D3A8456" w14:textId="77777777" w:rsidR="002231CA" w:rsidRPr="002231CA" w:rsidRDefault="002231CA" w:rsidP="002231CA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&amp;quot" w:eastAsia="Times New Roman" w:hAnsi="&amp;quot" w:cs="Times New Roman"/>
          <w:color w:val="000000"/>
          <w:sz w:val="26"/>
          <w:szCs w:val="26"/>
        </w:rPr>
      </w:pP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Usted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el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paciente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deberían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usar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una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mascarilla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si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están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misma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habitación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.</w:t>
      </w:r>
    </w:p>
    <w:p w14:paraId="28F3C64A" w14:textId="77777777" w:rsidR="002231CA" w:rsidRPr="002231CA" w:rsidRDefault="002231CA" w:rsidP="002231CA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&amp;quot" w:eastAsia="Times New Roman" w:hAnsi="&amp;quot" w:cs="Times New Roman"/>
          <w:color w:val="000000"/>
          <w:sz w:val="26"/>
          <w:szCs w:val="26"/>
        </w:rPr>
      </w:pP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Usar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una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mascarilla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guantes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desechables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cuando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toque o entre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contacto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con la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sangre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las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heces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o los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líquidos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corporales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paciente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como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su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saliva,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esputo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mucosidad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nasal,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vómito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u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orina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. </w:t>
      </w:r>
    </w:p>
    <w:p w14:paraId="2B0ABFB4" w14:textId="77777777" w:rsidR="002231CA" w:rsidRPr="002231CA" w:rsidRDefault="002231CA" w:rsidP="002231CA">
      <w:pPr>
        <w:numPr>
          <w:ilvl w:val="1"/>
          <w:numId w:val="2"/>
        </w:numPr>
        <w:spacing w:before="100" w:beforeAutospacing="1" w:after="100" w:afterAutospacing="1" w:line="240" w:lineRule="auto"/>
        <w:ind w:left="990"/>
        <w:rPr>
          <w:rFonts w:ascii="&amp;quot" w:eastAsia="Times New Roman" w:hAnsi="&amp;quot" w:cs="Times New Roman"/>
          <w:color w:val="000000"/>
          <w:sz w:val="26"/>
          <w:szCs w:val="26"/>
        </w:rPr>
      </w:pP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Bote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mascarillas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los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guantes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desechables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después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usarlos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. No los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vuelva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usar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.</w:t>
      </w:r>
    </w:p>
    <w:p w14:paraId="5669266B" w14:textId="77777777" w:rsidR="002231CA" w:rsidRPr="002231CA" w:rsidRDefault="002231CA" w:rsidP="002231CA">
      <w:pPr>
        <w:numPr>
          <w:ilvl w:val="1"/>
          <w:numId w:val="2"/>
        </w:numPr>
        <w:spacing w:before="100" w:beforeAutospacing="1" w:after="100" w:afterAutospacing="1" w:line="240" w:lineRule="auto"/>
        <w:ind w:left="990"/>
        <w:rPr>
          <w:rFonts w:ascii="&amp;quot" w:eastAsia="Times New Roman" w:hAnsi="&amp;quot" w:cs="Times New Roman"/>
          <w:color w:val="000000"/>
          <w:sz w:val="26"/>
          <w:szCs w:val="26"/>
        </w:rPr>
      </w:pP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Cuando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se quite el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equipo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protección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personal,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quítese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bote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primero los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guantes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.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Luego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límpiese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las manos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inmediato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con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agua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jabón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o con un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desinfectante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 base de alcohol.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Después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quítese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bote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mascarilla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límpiese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nuevamente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las manos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inmediato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con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agua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jabón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o un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desinfectante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manos a base de alcohol.</w:t>
      </w:r>
    </w:p>
    <w:p w14:paraId="1AF3C265" w14:textId="77777777" w:rsidR="002231CA" w:rsidRPr="002231CA" w:rsidRDefault="002231CA" w:rsidP="002231CA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&amp;quot" w:eastAsia="Times New Roman" w:hAnsi="&amp;quot" w:cs="Times New Roman"/>
          <w:color w:val="000000"/>
          <w:sz w:val="26"/>
          <w:szCs w:val="26"/>
        </w:rPr>
      </w:pP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Evitar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compartir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con el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paciente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artículos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hogar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uso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personal. No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deben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compartir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platos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vasos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tazas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cubiertos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toallas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ropa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cama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u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otros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artículos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.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Después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que el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paciente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use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estos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artículos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se los debe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lavar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bien (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consulte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“Lave bien la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ropa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”,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más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abajo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).</w:t>
      </w:r>
    </w:p>
    <w:p w14:paraId="14756945" w14:textId="77777777" w:rsidR="002231CA" w:rsidRPr="002231CA" w:rsidRDefault="002231CA" w:rsidP="002231CA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&amp;quot" w:eastAsia="Times New Roman" w:hAnsi="&amp;quot" w:cs="Times New Roman"/>
          <w:color w:val="000000"/>
          <w:sz w:val="26"/>
          <w:szCs w:val="26"/>
        </w:rPr>
      </w:pP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Limpiar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todos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los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días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todas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las superficies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contacto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frecuente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como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los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mesones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las mesas, las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manijas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las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puertas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las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llaves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grifos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baño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los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inodoros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los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teléfonos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los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teclados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las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tabletas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las mesas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cama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.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Limpie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también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todas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las superficies que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puedan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tener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sangre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heces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o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líquidos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corporales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. </w:t>
      </w:r>
    </w:p>
    <w:p w14:paraId="775447F7" w14:textId="77777777" w:rsidR="002231CA" w:rsidRPr="002231CA" w:rsidRDefault="002231CA" w:rsidP="002231CA">
      <w:pPr>
        <w:numPr>
          <w:ilvl w:val="1"/>
          <w:numId w:val="2"/>
        </w:numPr>
        <w:spacing w:before="100" w:beforeAutospacing="1" w:after="100" w:afterAutospacing="1" w:line="240" w:lineRule="auto"/>
        <w:ind w:left="990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Use un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limpiador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uso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doméstico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ya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sea un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rociador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o una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toallita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según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instrucciones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la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etiqueta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. Las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etiquetas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contienen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instrucciones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para el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uso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seguro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eficaz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los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productos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limpieza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incluidas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precauciones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que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debería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tomar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cuando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aplique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el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producto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como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usar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guantes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asegurarse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tener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buena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ventilación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mientras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lo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esté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usando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.</w:t>
      </w:r>
    </w:p>
    <w:p w14:paraId="7759CF01" w14:textId="77777777" w:rsidR="002231CA" w:rsidRPr="002231CA" w:rsidRDefault="002231CA" w:rsidP="002231CA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&amp;quot" w:eastAsia="Times New Roman" w:hAnsi="&amp;quot" w:cs="Times New Roman"/>
          <w:color w:val="000000"/>
          <w:sz w:val="26"/>
          <w:szCs w:val="26"/>
        </w:rPr>
      </w:pP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Lavar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bien la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ropa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. </w:t>
      </w:r>
    </w:p>
    <w:p w14:paraId="4B67585E" w14:textId="77777777" w:rsidR="002231CA" w:rsidRPr="002231CA" w:rsidRDefault="002231CA" w:rsidP="002231CA">
      <w:pPr>
        <w:numPr>
          <w:ilvl w:val="1"/>
          <w:numId w:val="2"/>
        </w:numPr>
        <w:spacing w:before="100" w:beforeAutospacing="1" w:after="100" w:afterAutospacing="1" w:line="240" w:lineRule="auto"/>
        <w:ind w:left="990"/>
        <w:rPr>
          <w:rFonts w:ascii="&amp;quot" w:eastAsia="Times New Roman" w:hAnsi="&amp;quot" w:cs="Times New Roman"/>
          <w:color w:val="000000"/>
          <w:sz w:val="26"/>
          <w:szCs w:val="26"/>
        </w:rPr>
      </w:pP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Remueva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lave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inmediatamente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ropa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o la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ropa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cama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que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tenga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sangre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heces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o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líquidos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corporales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.</w:t>
      </w:r>
    </w:p>
    <w:p w14:paraId="56B5E37E" w14:textId="77777777" w:rsidR="002231CA" w:rsidRPr="002231CA" w:rsidRDefault="002231CA" w:rsidP="002231CA">
      <w:pPr>
        <w:numPr>
          <w:ilvl w:val="1"/>
          <w:numId w:val="2"/>
        </w:numPr>
        <w:spacing w:before="100" w:beforeAutospacing="1" w:after="100" w:afterAutospacing="1" w:line="240" w:lineRule="auto"/>
        <w:ind w:left="990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Use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guantes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desechables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cuando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manipule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los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artículos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sucios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mantenga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estos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artículos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alejados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su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cuerpo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.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Límpiese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inmediato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las manos (con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agua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jabón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o un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desinfectante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manos a base de alcohol)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después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quitarse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los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guantes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.</w:t>
      </w:r>
    </w:p>
    <w:p w14:paraId="1AE52E58" w14:textId="77777777" w:rsidR="002231CA" w:rsidRPr="002231CA" w:rsidRDefault="002231CA" w:rsidP="002231CA">
      <w:pPr>
        <w:numPr>
          <w:ilvl w:val="1"/>
          <w:numId w:val="2"/>
        </w:numPr>
        <w:spacing w:before="100" w:beforeAutospacing="1" w:after="100" w:afterAutospacing="1" w:line="240" w:lineRule="auto"/>
        <w:ind w:left="990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Lea y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siga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instrucciones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las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etiquetas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la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ropa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o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ropa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cama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el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detergente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.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general, use un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detergente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ropa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normal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siguiendo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instrucciones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uso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para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lavadora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seque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bien la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ropa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usando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temperatura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más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alta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que se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recomiende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etiquetas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la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ropa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.</w:t>
      </w:r>
    </w:p>
    <w:p w14:paraId="652FAA14" w14:textId="77777777" w:rsidR="002231CA" w:rsidRPr="002231CA" w:rsidRDefault="002231CA" w:rsidP="002231CA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&amp;quot" w:eastAsia="Times New Roman" w:hAnsi="&amp;quot" w:cs="Times New Roman"/>
          <w:color w:val="000000"/>
          <w:sz w:val="26"/>
          <w:szCs w:val="26"/>
        </w:rPr>
      </w:pP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Colocar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un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recipiente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con una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bolsa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plástica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todos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los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guantes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mascarillas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demás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artículos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desechables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usados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antes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botarlos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con la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demás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basura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la casa.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Límpiese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las manos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inmediato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(con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agua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jabón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o un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desinfectante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para manos con alcohol)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después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manipular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estos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artículos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. Si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tiene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las manos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visiblemente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sucias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es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preferible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usar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agua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jabón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.</w:t>
      </w:r>
    </w:p>
    <w:p w14:paraId="709C9F5F" w14:textId="77777777" w:rsidR="002231CA" w:rsidRPr="002231CA" w:rsidRDefault="002231CA" w:rsidP="002231CA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&amp;quot" w:eastAsia="Times New Roman" w:hAnsi="&amp;quot" w:cs="Times New Roman"/>
          <w:color w:val="000000"/>
          <w:sz w:val="26"/>
          <w:szCs w:val="26"/>
        </w:rPr>
      </w:pP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Dirija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todas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las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preguntas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adicionales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que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tenga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su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departamento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salud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local o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estatal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o 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su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proveedor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atención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médica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.</w:t>
      </w:r>
    </w:p>
    <w:p w14:paraId="439B051C" w14:textId="77777777" w:rsidR="002231CA" w:rsidRPr="002231CA" w:rsidRDefault="002231CA" w:rsidP="002231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231CA">
        <w:rPr>
          <w:rFonts w:ascii="Times New Roman" w:eastAsia="Times New Roman" w:hAnsi="Times New Roman" w:cs="Times New Roman"/>
          <w:color w:val="000000"/>
          <w:sz w:val="27"/>
          <w:szCs w:val="27"/>
        </w:rPr>
        <w:t>Notas</w:t>
      </w:r>
      <w:proofErr w:type="spellEnd"/>
      <w:r w:rsidRPr="002231C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 pie de </w:t>
      </w:r>
      <w:proofErr w:type="spellStart"/>
      <w:r w:rsidRPr="002231CA">
        <w:rPr>
          <w:rFonts w:ascii="Times New Roman" w:eastAsia="Times New Roman" w:hAnsi="Times New Roman" w:cs="Times New Roman"/>
          <w:color w:val="000000"/>
          <w:sz w:val="27"/>
          <w:szCs w:val="27"/>
        </w:rPr>
        <w:t>página</w:t>
      </w:r>
      <w:proofErr w:type="spellEnd"/>
    </w:p>
    <w:p w14:paraId="2D1FD7EB" w14:textId="77777777" w:rsidR="002231CA" w:rsidRPr="002231CA" w:rsidRDefault="002231CA" w:rsidP="002231CA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2231CA">
        <w:rPr>
          <w:rFonts w:ascii="&amp;quot" w:eastAsia="Times New Roman" w:hAnsi="&amp;quot" w:cs="Times New Roman"/>
          <w:color w:val="000000"/>
          <w:sz w:val="17"/>
          <w:szCs w:val="17"/>
          <w:vertAlign w:val="superscript"/>
        </w:rPr>
        <w:t>1</w:t>
      </w:r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El personal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atención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médica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domicilio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se debe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remitir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Recomendaciones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interinas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para la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prevención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y el control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infecciones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entornos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atención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médica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con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relación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 los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pacientes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con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infección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por el nuevo coronavirus 2019 [COVID-19]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confirmada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o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pacientes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bajo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investigación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para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determinarlo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(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inglés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).</w:t>
      </w:r>
    </w:p>
    <w:p w14:paraId="39AB168E" w14:textId="77777777" w:rsidR="002231CA" w:rsidRPr="002231CA" w:rsidRDefault="002231CA" w:rsidP="002231CA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2231CA">
        <w:rPr>
          <w:rFonts w:ascii="&amp;quot" w:eastAsia="Times New Roman" w:hAnsi="&amp;quot" w:cs="Times New Roman"/>
          <w:color w:val="000000"/>
          <w:sz w:val="17"/>
          <w:szCs w:val="17"/>
          <w:vertAlign w:val="superscript"/>
        </w:rPr>
        <w:t>2</w:t>
      </w:r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La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definición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contacto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cercano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es:</w:t>
      </w:r>
    </w:p>
    <w:p w14:paraId="738D2AA9" w14:textId="77777777" w:rsidR="002231CA" w:rsidRPr="002231CA" w:rsidRDefault="002231CA" w:rsidP="002231CA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a)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estar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dentro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aproximadamente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6 pies (2 metros) de un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caso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COVID-19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durante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un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periodo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prolongado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; el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contacto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cercano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puede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ocurrir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mientras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se le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brindan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cuidados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a un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caso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COVID-19, o al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vivir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con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este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visitarlo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o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compartir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una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habitación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sala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o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área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espera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con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él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.</w:t>
      </w:r>
    </w:p>
    <w:p w14:paraId="09AA96E0" w14:textId="77777777" w:rsidR="002231CA" w:rsidRPr="002231CA" w:rsidRDefault="002231CA" w:rsidP="002231CA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2231CA">
        <w:rPr>
          <w:rFonts w:ascii="&amp;quot" w:eastAsia="Times New Roman" w:hAnsi="&amp;quot" w:cs="Times New Roman"/>
          <w:i/>
          <w:iCs/>
          <w:color w:val="000000"/>
          <w:sz w:val="26"/>
          <w:szCs w:val="26"/>
        </w:rPr>
        <w:t>– o –</w:t>
      </w:r>
    </w:p>
    <w:p w14:paraId="706ABE0D" w14:textId="77777777" w:rsidR="002231CA" w:rsidRPr="002231CA" w:rsidRDefault="002231CA" w:rsidP="002231CA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b)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tener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contacto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directo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con las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secreciones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infecciosas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un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caso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de COVID-19 (p. 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ej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.,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si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le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tose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encima</w:t>
      </w:r>
      <w:proofErr w:type="spellEnd"/>
      <w:r w:rsidRPr="002231CA">
        <w:rPr>
          <w:rFonts w:ascii="&amp;quot" w:eastAsia="Times New Roman" w:hAnsi="&amp;quot" w:cs="Times New Roman"/>
          <w:color w:val="000000"/>
          <w:sz w:val="26"/>
          <w:szCs w:val="26"/>
        </w:rPr>
        <w:t>).</w:t>
      </w:r>
    </w:p>
    <w:p w14:paraId="4A09FF25" w14:textId="77777777" w:rsidR="002231CA" w:rsidRPr="002231CA" w:rsidRDefault="002231CA" w:rsidP="002231CA">
      <w:pPr>
        <w:spacing w:after="0" w:line="240" w:lineRule="auto"/>
        <w:jc w:val="right"/>
        <w:rPr>
          <w:rFonts w:ascii="&amp;quot" w:eastAsia="Times New Roman" w:hAnsi="&amp;quot" w:cs="Times New Roman"/>
          <w:color w:val="333333"/>
          <w:sz w:val="26"/>
          <w:szCs w:val="26"/>
        </w:rPr>
      </w:pPr>
      <w:proofErr w:type="spellStart"/>
      <w:r w:rsidRPr="002231CA">
        <w:rPr>
          <w:rFonts w:ascii="&amp;quot" w:eastAsia="Times New Roman" w:hAnsi="&amp;quot" w:cs="Times New Roman"/>
          <w:color w:val="333333"/>
          <w:sz w:val="26"/>
          <w:szCs w:val="26"/>
        </w:rPr>
        <w:t>Esta</w:t>
      </w:r>
      <w:proofErr w:type="spellEnd"/>
      <w:r w:rsidRPr="002231C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333333"/>
          <w:sz w:val="26"/>
          <w:szCs w:val="26"/>
        </w:rPr>
        <w:t>página</w:t>
      </w:r>
      <w:proofErr w:type="spellEnd"/>
      <w:r w:rsidRPr="002231C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333333"/>
          <w:sz w:val="26"/>
          <w:szCs w:val="26"/>
        </w:rPr>
        <w:t>fue</w:t>
      </w:r>
      <w:proofErr w:type="spellEnd"/>
      <w:r w:rsidRPr="002231C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</w:t>
      </w:r>
      <w:proofErr w:type="spellStart"/>
      <w:r w:rsidRPr="002231CA">
        <w:rPr>
          <w:rFonts w:ascii="&amp;quot" w:eastAsia="Times New Roman" w:hAnsi="&amp;quot" w:cs="Times New Roman"/>
          <w:color w:val="333333"/>
          <w:sz w:val="26"/>
          <w:szCs w:val="26"/>
        </w:rPr>
        <w:t>revisada</w:t>
      </w:r>
      <w:proofErr w:type="spellEnd"/>
      <w:r w:rsidRPr="002231C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el: 24 de </w:t>
      </w:r>
      <w:proofErr w:type="spellStart"/>
      <w:r w:rsidRPr="002231CA">
        <w:rPr>
          <w:rFonts w:ascii="&amp;quot" w:eastAsia="Times New Roman" w:hAnsi="&amp;quot" w:cs="Times New Roman"/>
          <w:color w:val="333333"/>
          <w:sz w:val="26"/>
          <w:szCs w:val="26"/>
        </w:rPr>
        <w:t>febrero</w:t>
      </w:r>
      <w:proofErr w:type="spellEnd"/>
      <w:r w:rsidRPr="002231C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 de 2020 </w:t>
      </w:r>
    </w:p>
    <w:p w14:paraId="7C8E032F" w14:textId="77777777" w:rsidR="002231CA" w:rsidRPr="002231CA" w:rsidRDefault="002231CA" w:rsidP="002231CA">
      <w:pPr>
        <w:spacing w:after="0" w:line="240" w:lineRule="auto"/>
        <w:jc w:val="right"/>
        <w:rPr>
          <w:rFonts w:ascii="&amp;quot" w:eastAsia="Times New Roman" w:hAnsi="&amp;quot" w:cs="Times New Roman"/>
          <w:color w:val="333333"/>
          <w:sz w:val="26"/>
          <w:szCs w:val="26"/>
        </w:rPr>
      </w:pPr>
      <w:r w:rsidRPr="002231C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Fuente del </w:t>
      </w:r>
      <w:proofErr w:type="spellStart"/>
      <w:r w:rsidRPr="002231CA">
        <w:rPr>
          <w:rFonts w:ascii="&amp;quot" w:eastAsia="Times New Roman" w:hAnsi="&amp;quot" w:cs="Times New Roman"/>
          <w:color w:val="333333"/>
          <w:sz w:val="26"/>
          <w:szCs w:val="26"/>
        </w:rPr>
        <w:t>contenido</w:t>
      </w:r>
      <w:proofErr w:type="spellEnd"/>
      <w:r w:rsidRPr="002231C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: </w:t>
      </w:r>
      <w:hyperlink r:id="rId16" w:history="1"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National Center for Immunization and Respiratory Diseases (NCIRD)</w:t>
        </w:r>
      </w:hyperlink>
      <w:r w:rsidRPr="002231CA">
        <w:rPr>
          <w:rFonts w:ascii="&amp;quot" w:eastAsia="Times New Roman" w:hAnsi="&amp;quot" w:cs="Times New Roman"/>
          <w:color w:val="333333"/>
          <w:sz w:val="26"/>
          <w:szCs w:val="26"/>
        </w:rPr>
        <w:t xml:space="preserve">, </w:t>
      </w:r>
      <w:hyperlink r:id="rId17" w:history="1">
        <w:r w:rsidRPr="002231CA">
          <w:rPr>
            <w:rFonts w:ascii="&amp;quot" w:eastAsia="Times New Roman" w:hAnsi="&amp;quot" w:cs="Times New Roman"/>
            <w:color w:val="075290"/>
            <w:sz w:val="26"/>
            <w:szCs w:val="26"/>
            <w:u w:val="single"/>
          </w:rPr>
          <w:t>Division of Viral Diseases</w:t>
        </w:r>
      </w:hyperlink>
    </w:p>
    <w:p w14:paraId="5474B504" w14:textId="77777777" w:rsidR="00BE48C0" w:rsidRDefault="00BE48C0"/>
    <w:sectPr w:rsidR="00BE4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E7B72"/>
    <w:multiLevelType w:val="multilevel"/>
    <w:tmpl w:val="4AC02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03441D"/>
    <w:multiLevelType w:val="multilevel"/>
    <w:tmpl w:val="8B6C3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CA"/>
    <w:rsid w:val="002231CA"/>
    <w:rsid w:val="00BE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35FB8"/>
  <w15:chartTrackingRefBased/>
  <w15:docId w15:val="{573F7338-8C17-47D0-8B4E-1550337E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7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2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169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55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1507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7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0E0"/>
                                <w:left w:val="single" w:sz="6" w:space="0" w:color="E0E0E0"/>
                                <w:bottom w:val="single" w:sz="6" w:space="0" w:color="E0E0E0"/>
                                <w:right w:val="single" w:sz="6" w:space="0" w:color="E0E0E0"/>
                              </w:divBdr>
                              <w:divsChild>
                                <w:div w:id="9059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81235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073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8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2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0E0"/>
                                <w:left w:val="single" w:sz="6" w:space="0" w:color="E0E0E0"/>
                                <w:bottom w:val="single" w:sz="6" w:space="0" w:color="E0E0E0"/>
                                <w:right w:val="single" w:sz="6" w:space="0" w:color="E0E0E0"/>
                              </w:divBdr>
                              <w:divsChild>
                                <w:div w:id="41656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52843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00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8612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hcp/guidance-home-care.html" TargetMode="External"/><Relationship Id="rId13" Type="http://schemas.openxmlformats.org/officeDocument/2006/relationships/hyperlink" Target="https://www.cdc.gov/coronavirus/2019-ncov/hcp/guidance-prevent-spread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c.gov/coronavirus/2019-ncov/hcp/guidance-prevent-spread.html" TargetMode="External"/><Relationship Id="rId12" Type="http://schemas.openxmlformats.org/officeDocument/2006/relationships/hyperlink" Target="https://www.cdc.gov/coronavirus/2019-ncov/hcp/guidance-prevent-spread.html" TargetMode="External"/><Relationship Id="rId17" Type="http://schemas.openxmlformats.org/officeDocument/2006/relationships/hyperlink" Target="https://www.cdc.gov/ncird/dvd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dc.gov/ncird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dc.gov/sars/index.html" TargetMode="External"/><Relationship Id="rId11" Type="http://schemas.openxmlformats.org/officeDocument/2006/relationships/hyperlink" Target="https://www.cdc.gov/coronavirus/2019-ncov/faq-sp.html" TargetMode="External"/><Relationship Id="rId5" Type="http://schemas.openxmlformats.org/officeDocument/2006/relationships/hyperlink" Target="https://www.cdc.gov/coronavirus/mers/index.html" TargetMode="External"/><Relationship Id="rId15" Type="http://schemas.openxmlformats.org/officeDocument/2006/relationships/hyperlink" Target="https://www.cdc.gov/coronavirus/2019-ncov/faq.html/" TargetMode="External"/><Relationship Id="rId10" Type="http://schemas.openxmlformats.org/officeDocument/2006/relationships/hyperlink" Target="https://www.cdc.gov/coronavirus/2019-ncov/hcp/guidance-home-care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ronavirus/2019-ncov/hcp/guidance-prevent-spread.html" TargetMode="External"/><Relationship Id="rId14" Type="http://schemas.openxmlformats.org/officeDocument/2006/relationships/hyperlink" Target="https://www.cdc.gov/coronavirus/2019-ncov/php/risk-assessme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2344</Words>
  <Characters>13363</Characters>
  <Application>Microsoft Office Word</Application>
  <DocSecurity>0</DocSecurity>
  <Lines>111</Lines>
  <Paragraphs>31</Paragraphs>
  <ScaleCrop>false</ScaleCrop>
  <Company/>
  <LinksUpToDate>false</LinksUpToDate>
  <CharactersWithSpaces>15676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Valencia-Castillo</dc:creator>
  <cp:keywords/>
  <dc:description/>
  <cp:lastModifiedBy>Carmen Valencia-Castillo</cp:lastModifiedBy>
  <cp:revision>1</cp:revision>
  <dcterms:created xsi:type="dcterms:W3CDTF">2020-03-13T17:20:00Z</dcterms:created>
  <dcterms:modified xsi:type="dcterms:W3CDTF">2020-03-13T17:21:00Z</dcterms:modified>
</cp:coreProperties>
</file>